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noProof/>
          <w:color w:val="000000"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МИХАЙЛОВСКАЯ ГОРОДСКАЯ ДУМА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tabs>
          <w:tab w:val="left" w:pos="1515"/>
        </w:tabs>
        <w:suppressAutoHyphens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ВОЛГОГРАДСКОЙ ОБЛАСТИ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РЕШЕНИЕ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suppressAutoHyphens/>
        <w:spacing w:after="0" w:line="240" w:lineRule="auto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 xml:space="preserve">Принято Михайловской 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городской Думой  202</w:t>
      </w:r>
      <w:r w:rsidR="0099249C">
        <w:rPr>
          <w:rFonts w:ascii="Times New Roman" w:hAnsi="Times New Roman" w:cs="Arial"/>
          <w:b/>
          <w:color w:val="000000"/>
          <w:sz w:val="24"/>
          <w:szCs w:val="24"/>
        </w:rPr>
        <w:t>2</w:t>
      </w: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 xml:space="preserve"> г.                                      </w:t>
      </w:r>
      <w:r w:rsidR="0099249C">
        <w:rPr>
          <w:rFonts w:ascii="Times New Roman" w:hAnsi="Times New Roman" w:cs="Arial"/>
          <w:b/>
          <w:color w:val="000000"/>
          <w:sz w:val="24"/>
          <w:szCs w:val="24"/>
        </w:rPr>
        <w:t xml:space="preserve">                             № </w:t>
      </w:r>
    </w:p>
    <w:p w:rsidR="00004279" w:rsidRPr="002F46FB" w:rsidRDefault="00004279" w:rsidP="00F9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работе </w:t>
      </w:r>
      <w:r w:rsidR="00D83742"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>О «</w:t>
      </w:r>
      <w:r w:rsidR="00D83742">
        <w:rPr>
          <w:rFonts w:ascii="Times New Roman" w:eastAsia="Times New Roman" w:hAnsi="Times New Roman" w:cs="Times New Roman"/>
          <w:b/>
          <w:sz w:val="24"/>
          <w:szCs w:val="24"/>
        </w:rPr>
        <w:t>Прометей</w:t>
      </w:r>
      <w:r w:rsidR="00004279">
        <w:rPr>
          <w:rFonts w:ascii="Times New Roman" w:eastAsia="Times New Roman" w:hAnsi="Times New Roman" w:cs="Times New Roman"/>
          <w:b/>
          <w:sz w:val="24"/>
          <w:szCs w:val="24"/>
        </w:rPr>
        <w:t>» за 202</w:t>
      </w:r>
      <w:r w:rsidR="0099249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информацию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врио директора ООО «Прометей»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02310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91EAA" w:rsidRPr="002F46FB" w:rsidRDefault="00F91EAA" w:rsidP="00F91E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        1. Отчет о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ООО «Прометей»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0042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10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 даты подписания.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3107" w:rsidRDefault="00023107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ь 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Михайловской 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Думы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</w:t>
      </w:r>
      <w:r w:rsidR="00023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В.А.Круглов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023107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3742" w:rsidRPr="002F46FB" w:rsidRDefault="00D83742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55C" w:rsidRDefault="00A1755C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1EAA" w:rsidRPr="007F709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7F709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F91EAA" w:rsidRPr="007F709B" w:rsidRDefault="00F91EAA" w:rsidP="007F7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 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F91EAA" w:rsidRDefault="00F91EAA" w:rsidP="00F91E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709B">
        <w:rPr>
          <w:rFonts w:ascii="Times New Roman" w:eastAsia="Times New Roman" w:hAnsi="Times New Roman" w:cs="Times New Roman"/>
        </w:rPr>
        <w:t xml:space="preserve">«Отчет о работе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ООО «Прометей»</w:t>
      </w:r>
      <w:r w:rsidRPr="007F709B">
        <w:rPr>
          <w:rFonts w:ascii="Times New Roman" w:eastAsia="Times New Roman" w:hAnsi="Times New Roman" w:cs="Times New Roman"/>
        </w:rPr>
        <w:t xml:space="preserve"> за 20</w:t>
      </w:r>
      <w:r w:rsidR="00004279">
        <w:rPr>
          <w:rFonts w:ascii="Times New Roman" w:eastAsia="Times New Roman" w:hAnsi="Times New Roman" w:cs="Times New Roman"/>
        </w:rPr>
        <w:t>2</w:t>
      </w:r>
      <w:r w:rsidR="00023107">
        <w:rPr>
          <w:rFonts w:ascii="Times New Roman" w:eastAsia="Times New Roman" w:hAnsi="Times New Roman" w:cs="Times New Roman"/>
        </w:rPr>
        <w:t>1</w:t>
      </w:r>
      <w:r w:rsidRPr="007F709B">
        <w:rPr>
          <w:rFonts w:ascii="Times New Roman" w:eastAsia="Times New Roman" w:hAnsi="Times New Roman" w:cs="Times New Roman"/>
        </w:rPr>
        <w:t xml:space="preserve"> год»</w:t>
      </w:r>
    </w:p>
    <w:p w:rsidR="00D83742" w:rsidRDefault="00D83742" w:rsidP="00F91E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23107" w:rsidRPr="00023107" w:rsidRDefault="00023107" w:rsidP="0002310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1. Основные сведения об организации</w:t>
      </w:r>
    </w:p>
    <w:p w:rsidR="00023107" w:rsidRPr="00023107" w:rsidRDefault="00023107" w:rsidP="0002310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«Прометей», юридический и фактический адрес: 403343, Волгоградская область г.Михайловка ул.Коммуны, д. 113. Общество с ограниченной ответственностью «Прометей» создано путем преобразования Муниципального унитарного предприятия г.Михайловка «Прометей»в 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Администрации городского округа город Михайловка Волгоградской области № 2591 от 22.09.2017 г.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ОГРН: 1183443004843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ИНН: 3456004198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ab/>
        <w:t>КПП: 345601001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Функции учредителя осуществляет администрация городского округа город Михайловка Волгоградской области.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 xml:space="preserve">Бухгалтерская отчетность предприятия сформирована, исходя из действующих в Российской Федерации правил бухгалтерского учета и отчетности. 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Списочная численность работающих на конец отчетного периода составила 7 человек, среднегодовая численность 7 человек.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Размер уставного капитала предприятия на 31.12.2021г. составляет 3 341 324,01 рублей. В 2021 году уставный капитал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 xml:space="preserve">уменьшился согласно Постановлению от 12.07.2021 № 2001 «О решениях единственного участника общества с ограниченной ответственностью «Прометей» на сумму 153 000 (сто пятьдесят три тысячи) рублей путем уменьшения номинальной стоимости доли с сохранением размера доли единственного участника общества. 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Основными видами деятельности предприятия является розничная торговля книгами, писчебумажными и канцелярскими товарами (ОКВЭД 47.61, 47.62).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Деятельность осуществлялась предприятием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на протяжении всего периода 2021 года и была направлена на получение доходов в отчетном и последующих периодах.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Предприятие осуществляет свою финансовую деятельность в рамках специального налогового режима –Упрощенная система налогообложения, в качестве объекта налогообложения выбраны доходы.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2. Структура имущества и источников его формирования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Анализ финансового положения и эффективности деятельности общества выполнен за период с 01.01.2021 по 31.12.2021 г. на основе данных бухгалтерской отчетности за год.</w:t>
      </w:r>
    </w:p>
    <w:tbl>
      <w:tblPr>
        <w:tblStyle w:val="a9"/>
        <w:tblW w:w="10593" w:type="dxa"/>
        <w:jc w:val="center"/>
        <w:tblLayout w:type="fixed"/>
        <w:tblLook w:val="04A0"/>
      </w:tblPr>
      <w:tblGrid>
        <w:gridCol w:w="5085"/>
        <w:gridCol w:w="850"/>
        <w:gridCol w:w="851"/>
        <w:gridCol w:w="850"/>
        <w:gridCol w:w="851"/>
        <w:gridCol w:w="850"/>
        <w:gridCol w:w="1256"/>
      </w:tblGrid>
      <w:tr w:rsidR="00023107" w:rsidTr="00273A56">
        <w:trPr>
          <w:jc w:val="center"/>
        </w:trPr>
        <w:tc>
          <w:tcPr>
            <w:tcW w:w="5085" w:type="dxa"/>
            <w:vMerge w:val="restart"/>
            <w:vAlign w:val="center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74F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gridSpan w:val="4"/>
            <w:vAlign w:val="center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06" w:type="dxa"/>
            <w:gridSpan w:val="2"/>
            <w:vAlign w:val="center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  <w:vMerge/>
            <w:vAlign w:val="center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тыс.руб.</w:t>
            </w:r>
          </w:p>
        </w:tc>
        <w:tc>
          <w:tcPr>
            <w:tcW w:w="1701" w:type="dxa"/>
            <w:gridSpan w:val="2"/>
            <w:vAlign w:val="center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0" w:type="dxa"/>
            <w:vMerge w:val="restart"/>
            <w:vAlign w:val="center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</w:p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56" w:type="dxa"/>
            <w:vMerge w:val="restart"/>
            <w:vAlign w:val="center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  <w:vMerge/>
          </w:tcPr>
          <w:p w:rsidR="00023107" w:rsidRPr="007374F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851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850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851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850" w:type="dxa"/>
            <w:vMerge/>
          </w:tcPr>
          <w:p w:rsidR="00023107" w:rsidRPr="007374F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23107" w:rsidRPr="007374F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7374F7" w:rsidRDefault="00023107" w:rsidP="00273A56">
            <w:pPr>
              <w:tabs>
                <w:tab w:val="left" w:pos="1813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7374F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1.Внеоборотные активы, в т.ч:</w:t>
            </w:r>
          </w:p>
        </w:tc>
        <w:tc>
          <w:tcPr>
            <w:tcW w:w="850" w:type="dxa"/>
          </w:tcPr>
          <w:p w:rsidR="00023107" w:rsidRPr="00D959E2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1 107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</w:tcPr>
          <w:p w:rsidR="00023107" w:rsidRPr="00F45DB6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1256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7374F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850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1 159</w:t>
            </w:r>
          </w:p>
        </w:tc>
        <w:tc>
          <w:tcPr>
            <w:tcW w:w="851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1 107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1256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7374F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7374F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Оборотные, в т.ч:</w:t>
            </w:r>
          </w:p>
        </w:tc>
        <w:tc>
          <w:tcPr>
            <w:tcW w:w="850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1 881</w:t>
            </w:r>
          </w:p>
        </w:tc>
        <w:tc>
          <w:tcPr>
            <w:tcW w:w="851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1 615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-266</w:t>
            </w:r>
          </w:p>
        </w:tc>
        <w:tc>
          <w:tcPr>
            <w:tcW w:w="1256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-14,1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7374F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Запасы</w:t>
            </w:r>
          </w:p>
        </w:tc>
        <w:tc>
          <w:tcPr>
            <w:tcW w:w="850" w:type="dxa"/>
          </w:tcPr>
          <w:p w:rsidR="00023107" w:rsidRPr="00D959E2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1 828</w:t>
            </w:r>
          </w:p>
        </w:tc>
        <w:tc>
          <w:tcPr>
            <w:tcW w:w="851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1 586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-242</w:t>
            </w:r>
          </w:p>
        </w:tc>
        <w:tc>
          <w:tcPr>
            <w:tcW w:w="1256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-13,2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7374F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50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256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+57,1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7374F7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50" w:type="dxa"/>
            <w:vAlign w:val="center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  <w:vAlign w:val="center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256" w:type="dxa"/>
            <w:vAlign w:val="center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-60,9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DA47DF" w:rsidRDefault="00023107" w:rsidP="00273A56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DF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3 040</w:t>
            </w:r>
          </w:p>
        </w:tc>
        <w:tc>
          <w:tcPr>
            <w:tcW w:w="851" w:type="dxa"/>
          </w:tcPr>
          <w:p w:rsidR="00023107" w:rsidRPr="006D19A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2 722</w:t>
            </w:r>
          </w:p>
        </w:tc>
        <w:tc>
          <w:tcPr>
            <w:tcW w:w="850" w:type="dxa"/>
          </w:tcPr>
          <w:p w:rsidR="00023107" w:rsidRPr="00DA47D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23107" w:rsidRPr="00DA47D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23107" w:rsidRPr="00DA47D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-318</w:t>
            </w:r>
          </w:p>
        </w:tc>
        <w:tc>
          <w:tcPr>
            <w:tcW w:w="1256" w:type="dxa"/>
          </w:tcPr>
          <w:p w:rsidR="00023107" w:rsidRPr="00DA47D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-10,5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7374F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0309A1" w:rsidRDefault="00023107" w:rsidP="00273A56">
            <w:pPr>
              <w:pStyle w:val="aa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1.Собственный капитал</w:t>
            </w:r>
          </w:p>
        </w:tc>
        <w:tc>
          <w:tcPr>
            <w:tcW w:w="850" w:type="dxa"/>
            <w:vAlign w:val="bottom"/>
          </w:tcPr>
          <w:p w:rsidR="00023107" w:rsidRPr="006D19A9" w:rsidRDefault="00023107" w:rsidP="0027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2 170</w:t>
            </w:r>
          </w:p>
        </w:tc>
        <w:tc>
          <w:tcPr>
            <w:tcW w:w="851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1 745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-425</w:t>
            </w:r>
          </w:p>
        </w:tc>
        <w:tc>
          <w:tcPr>
            <w:tcW w:w="1256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-19,6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380EF7" w:rsidRDefault="00023107" w:rsidP="00273A56">
            <w:pPr>
              <w:pStyle w:val="aa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вт.ч.: нераспределенный убыток</w:t>
            </w:r>
          </w:p>
        </w:tc>
        <w:tc>
          <w:tcPr>
            <w:tcW w:w="850" w:type="dxa"/>
            <w:vAlign w:val="bottom"/>
          </w:tcPr>
          <w:p w:rsidR="00023107" w:rsidRPr="006D19A9" w:rsidRDefault="00023107" w:rsidP="00273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(1324</w:t>
            </w:r>
            <w:r w:rsidRPr="006D19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023107" w:rsidRPr="00380E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(1596</w:t>
            </w:r>
            <w:r w:rsidRPr="00380E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+272</w:t>
            </w:r>
          </w:p>
        </w:tc>
        <w:tc>
          <w:tcPr>
            <w:tcW w:w="1256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+20,5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0309A1" w:rsidRDefault="00023107" w:rsidP="00273A56">
            <w:pPr>
              <w:pStyle w:val="aa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2.Долгосро</w:t>
            </w:r>
            <w:r w:rsidRPr="000309A1">
              <w:rPr>
                <w:rFonts w:ascii="Times New Roman" w:hAnsi="Times New Roman" w:cs="Times New Roman"/>
                <w:sz w:val="24"/>
                <w:szCs w:val="24"/>
              </w:rPr>
              <w:t>чные обязательства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7374F7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3.Краткосрочные обязательства, всего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+107</w:t>
            </w:r>
          </w:p>
        </w:tc>
        <w:tc>
          <w:tcPr>
            <w:tcW w:w="1256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+12,3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вт.ч. кредиторская задолженность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+107</w:t>
            </w:r>
          </w:p>
        </w:tc>
        <w:tc>
          <w:tcPr>
            <w:tcW w:w="1256" w:type="dxa"/>
          </w:tcPr>
          <w:p w:rsidR="00023107" w:rsidRPr="007374F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+12,3</w:t>
            </w:r>
          </w:p>
        </w:tc>
      </w:tr>
      <w:tr w:rsidR="00023107" w:rsidTr="00273A56">
        <w:trPr>
          <w:jc w:val="center"/>
        </w:trPr>
        <w:tc>
          <w:tcPr>
            <w:tcW w:w="5085" w:type="dxa"/>
          </w:tcPr>
          <w:p w:rsidR="00023107" w:rsidRPr="00DA47DF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DF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</w:tcPr>
          <w:p w:rsidR="00023107" w:rsidRPr="006462AB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3 040</w:t>
            </w:r>
          </w:p>
        </w:tc>
        <w:tc>
          <w:tcPr>
            <w:tcW w:w="851" w:type="dxa"/>
          </w:tcPr>
          <w:p w:rsidR="00023107" w:rsidRPr="006D19A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2 722</w:t>
            </w:r>
          </w:p>
        </w:tc>
        <w:tc>
          <w:tcPr>
            <w:tcW w:w="850" w:type="dxa"/>
          </w:tcPr>
          <w:p w:rsidR="00023107" w:rsidRPr="00DA47D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23107" w:rsidRPr="00DA47D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23107" w:rsidRPr="00DA47D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-318</w:t>
            </w:r>
          </w:p>
        </w:tc>
        <w:tc>
          <w:tcPr>
            <w:tcW w:w="1256" w:type="dxa"/>
          </w:tcPr>
          <w:p w:rsidR="00023107" w:rsidRPr="00DA47D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-10,5</w:t>
            </w:r>
          </w:p>
        </w:tc>
      </w:tr>
    </w:tbl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Активы организации за весь анализируемый период уменьшились на 318 тыс.руб. (на 10,5%). Отмечая снижение активов, необходимо учесть, что собственный капитал уменьшился на 19,6% (ранее отмечалось причины уменьшения уставного капитала).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Структура активов организации на конец периода: 58,3% запасы (товары для перепродажи), 4,5% внеоборотные активы, 0,4% дебиторская задолженность, 0,6% прочие оборотные активы. Снижение величины активов организации связано, в первую очередь, со снижением следующих позиций актива бухгалтерского баланса: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- запасы – 242тыс.руб. (13,2%),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- Денежные средства и денежные эквиваленты – 28 тыс.руб. (60,9%).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 xml:space="preserve">В состав основных средств входили здания магазинов по ул.Коммуны, д.113, по ул.Торговая, д.63, но в 2021 годупо договору добровольного пожертвования имущества от 24.06.2021 № 1 нежилое здание, расположенное по адресу: Волгоградская обл., г. Михайловка, ул Торговая, д. 63, кадастровый номер 34:37:010268:332, общей площадью 237,1 кв.м передано администрации городского округа город Михайловка.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Стоимость основных средств на 31.12.2021 составляет 617 247 рублей, остаточная стоимость на 31.12.2021 года составила</w:t>
      </w:r>
      <w:r w:rsidRPr="00023107">
        <w:rPr>
          <w:rFonts w:ascii="Times New Roman" w:hAnsi="Times New Roman" w:cs="Times New Roman"/>
          <w:color w:val="000000"/>
          <w:sz w:val="24"/>
          <w:szCs w:val="24"/>
        </w:rPr>
        <w:t>215 512,92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Положения по бухгалтерскому учету «Учет основных средств» ПБУ 6/01», утвержденным Приказом Минфина России от 30.03.2001 № 26н,</w:t>
      </w:r>
      <w:r w:rsidRPr="00023107">
        <w:rPr>
          <w:rFonts w:ascii="Times New Roman" w:hAnsi="Times New Roman" w:cs="Times New Roman"/>
          <w:sz w:val="24"/>
          <w:szCs w:val="24"/>
        </w:rPr>
        <w:t xml:space="preserve"> активы стоимостью до 40 000 руб. могут учитываться в составе материально-производственных запасов, а не в составе ОС. Также в соответствии с положениями п. 1 </w:t>
      </w:r>
      <w:hyperlink r:id="rId8" w:tgtFrame="_blank" w:history="1">
        <w:r w:rsidRPr="00023107">
          <w:rPr>
            <w:rStyle w:val="ab"/>
            <w:rFonts w:ascii="Times New Roman" w:hAnsi="Times New Roman" w:cs="Times New Roman"/>
            <w:sz w:val="24"/>
            <w:szCs w:val="24"/>
          </w:rPr>
          <w:t>ст. 256 НК РФ</w:t>
        </w:r>
      </w:hyperlink>
      <w:r w:rsidRPr="00023107">
        <w:rPr>
          <w:rFonts w:ascii="Times New Roman" w:hAnsi="Times New Roman" w:cs="Times New Roman"/>
          <w:sz w:val="24"/>
          <w:szCs w:val="24"/>
        </w:rPr>
        <w:t xml:space="preserve"> амортизируемым признается имущество и иные объекты интеллектуальной собственности, являющиеся собственностью налогоплательщика, если они используются для извлечения дохода, срок их полезного использования составляет более 12 месяцев, а первоначальная стоимость превышает 40 000 руб.В целях исчисления налога на прибыль расходы на содержание, ремонт и эксплуатацию данного имущества относятся к прочим расходам, о чем сообщается в письме Минфина РФ  от 30 июня 2008 года N 03-03-06/1/37:  «расходы на ремонт имущества, стоимостью менее 40 000 рублей (например, мебель, компьютеры, оргтехника), удовлетворяющие критериям, предусмотренным статьей 252 Кодекса, могут учитываться в целях налогообложения прибыли как прочие расходы и признаваться в том отчетном (налоговом) периоде, в котором они были осуществлены, в размере фактических затрат».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При реорганизации на основании передаточного акта в состав основных средств передан земельный участок общей площадью 226,0 кв.м с кадастровым номером 34:37:010268:354, расположенный по адресу г.Михайловка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ул.Торговая, д.63, кадастровой стоимостью 891 881 (восемьсот девяносто одна тысяча восемьдесят восемь один) рубль 88 копеек.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lastRenderedPageBreak/>
        <w:t>Одновременно, в пассиве баланса снижение наблюдаются по строке: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- нера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107">
        <w:rPr>
          <w:rFonts w:ascii="Times New Roman" w:hAnsi="Times New Roman" w:cs="Times New Roman"/>
          <w:sz w:val="24"/>
          <w:szCs w:val="24"/>
        </w:rPr>
        <w:t>пределенная прибыль (непокрытый убыток) – 272тыс.руб. (20,5%),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- уставный капитал – 153 тыс.руб. (4,4%),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а повышение по строке: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- кредиторская задолженность – 107тыс.руб. (12,3%).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Собственный капитал организации на 31.12.2021 равнялся 1 745,0 тыс.руб., собственный капитал организации за весь рассматриваемый период снизился на 425тыс.руб. или на 19,6%.</w:t>
      </w:r>
    </w:p>
    <w:p w:rsidR="00023107" w:rsidRPr="00023107" w:rsidRDefault="00023107" w:rsidP="00023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Расшифровка кредиторской задолженности</w:t>
      </w:r>
    </w:p>
    <w:p w:rsidR="00023107" w:rsidRDefault="00023107" w:rsidP="0002310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1C16">
        <w:rPr>
          <w:noProof/>
        </w:rPr>
        <w:lastRenderedPageBreak/>
        <w:drawing>
          <wp:inline distT="0" distB="0" distL="0" distR="0">
            <wp:extent cx="6383869" cy="91725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249" cy="920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23107">
        <w:rPr>
          <w:rFonts w:ascii="Times New Roman" w:hAnsi="Times New Roman" w:cs="Times New Roman"/>
          <w:sz w:val="24"/>
          <w:szCs w:val="24"/>
        </w:rPr>
        <w:t>2.1 Оценка стоимости чистых активов организации</w:t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 xml:space="preserve">Чистые активы организации по состоянию на 31.12.2021 меньше уставного капитала на 47,8%. Такое соотношение отрицательно характеризует финансовое положение. </w:t>
      </w:r>
    </w:p>
    <w:p w:rsid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15" w:type="dxa"/>
        <w:tblLayout w:type="fixed"/>
        <w:tblLook w:val="04A0"/>
      </w:tblPr>
      <w:tblGrid>
        <w:gridCol w:w="3936"/>
        <w:gridCol w:w="993"/>
        <w:gridCol w:w="992"/>
        <w:gridCol w:w="992"/>
        <w:gridCol w:w="992"/>
        <w:gridCol w:w="1134"/>
        <w:gridCol w:w="1276"/>
      </w:tblGrid>
      <w:tr w:rsidR="00023107" w:rsidTr="00273A56">
        <w:tc>
          <w:tcPr>
            <w:tcW w:w="3936" w:type="dxa"/>
            <w:vMerge w:val="restart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969" w:type="dxa"/>
            <w:gridSpan w:val="4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410" w:type="dxa"/>
            <w:gridSpan w:val="2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Изменение</w:t>
            </w:r>
          </w:p>
        </w:tc>
      </w:tr>
      <w:tr w:rsidR="00023107" w:rsidTr="00273A56">
        <w:tc>
          <w:tcPr>
            <w:tcW w:w="3936" w:type="dxa"/>
            <w:vMerge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втыс.руб.</w:t>
            </w:r>
          </w:p>
        </w:tc>
        <w:tc>
          <w:tcPr>
            <w:tcW w:w="1984" w:type="dxa"/>
            <w:gridSpan w:val="2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 xml:space="preserve">в % </w:t>
            </w:r>
            <w:r>
              <w:rPr>
                <w:rFonts w:ascii="Times New Roman" w:hAnsi="Times New Roman" w:cs="Times New Roman"/>
              </w:rPr>
              <w:t>к валюте баланса</w:t>
            </w:r>
          </w:p>
        </w:tc>
        <w:tc>
          <w:tcPr>
            <w:tcW w:w="1134" w:type="dxa"/>
            <w:vMerge w:val="restart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Тыс.руб.</w:t>
            </w:r>
          </w:p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(гр.3-гр.2)</w:t>
            </w:r>
          </w:p>
        </w:tc>
        <w:tc>
          <w:tcPr>
            <w:tcW w:w="1276" w:type="dxa"/>
            <w:vMerge w:val="restart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%</w:t>
            </w:r>
          </w:p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(гр.3-гр.2)</w:t>
            </w:r>
          </w:p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: гр.2</w:t>
            </w:r>
          </w:p>
        </w:tc>
      </w:tr>
      <w:tr w:rsidR="00023107" w:rsidTr="00273A56">
        <w:tc>
          <w:tcPr>
            <w:tcW w:w="3936" w:type="dxa"/>
            <w:vMerge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Merge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107" w:rsidTr="00273A56">
        <w:tc>
          <w:tcPr>
            <w:tcW w:w="3936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7</w:t>
            </w:r>
          </w:p>
        </w:tc>
      </w:tr>
      <w:tr w:rsidR="00023107" w:rsidTr="00273A56">
        <w:tc>
          <w:tcPr>
            <w:tcW w:w="3936" w:type="dxa"/>
          </w:tcPr>
          <w:p w:rsidR="00023107" w:rsidRPr="00D26949" w:rsidRDefault="00023107" w:rsidP="00023107">
            <w:pPr>
              <w:pStyle w:val="aa"/>
              <w:numPr>
                <w:ilvl w:val="0"/>
                <w:numId w:val="3"/>
              </w:numPr>
              <w:spacing w:line="360" w:lineRule="atLeast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Чистые активы</w:t>
            </w:r>
          </w:p>
        </w:tc>
        <w:tc>
          <w:tcPr>
            <w:tcW w:w="993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1 745</w:t>
            </w:r>
          </w:p>
        </w:tc>
        <w:tc>
          <w:tcPr>
            <w:tcW w:w="992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92" w:type="dxa"/>
          </w:tcPr>
          <w:p w:rsidR="00023107" w:rsidRPr="00FC4EA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-425</w:t>
            </w:r>
          </w:p>
        </w:tc>
        <w:tc>
          <w:tcPr>
            <w:tcW w:w="1276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-19,6</w:t>
            </w:r>
          </w:p>
        </w:tc>
      </w:tr>
      <w:tr w:rsidR="00023107" w:rsidTr="00273A56">
        <w:tc>
          <w:tcPr>
            <w:tcW w:w="3936" w:type="dxa"/>
          </w:tcPr>
          <w:p w:rsidR="00023107" w:rsidRPr="00D26949" w:rsidRDefault="00023107" w:rsidP="00023107">
            <w:pPr>
              <w:pStyle w:val="aa"/>
              <w:numPr>
                <w:ilvl w:val="0"/>
                <w:numId w:val="3"/>
              </w:numPr>
              <w:spacing w:line="360" w:lineRule="atLeast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993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3 494</w:t>
            </w:r>
          </w:p>
        </w:tc>
        <w:tc>
          <w:tcPr>
            <w:tcW w:w="992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3 341</w:t>
            </w:r>
          </w:p>
        </w:tc>
        <w:tc>
          <w:tcPr>
            <w:tcW w:w="992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992" w:type="dxa"/>
          </w:tcPr>
          <w:p w:rsidR="00023107" w:rsidRPr="00FC4EA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134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-153</w:t>
            </w:r>
          </w:p>
        </w:tc>
        <w:tc>
          <w:tcPr>
            <w:tcW w:w="1276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-4,4</w:t>
            </w:r>
          </w:p>
        </w:tc>
      </w:tr>
      <w:tr w:rsidR="00023107" w:rsidTr="00273A56">
        <w:tc>
          <w:tcPr>
            <w:tcW w:w="3936" w:type="dxa"/>
          </w:tcPr>
          <w:p w:rsidR="00023107" w:rsidRPr="00D26949" w:rsidRDefault="00023107" w:rsidP="00023107">
            <w:pPr>
              <w:pStyle w:val="aa"/>
              <w:numPr>
                <w:ilvl w:val="0"/>
                <w:numId w:val="3"/>
              </w:numPr>
              <w:spacing w:line="360" w:lineRule="atLeast"/>
              <w:ind w:left="426" w:hanging="426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Превышение чистых активов над уставным капиталом (стр.1-стр.2)</w:t>
            </w:r>
          </w:p>
        </w:tc>
        <w:tc>
          <w:tcPr>
            <w:tcW w:w="993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-1 324</w:t>
            </w:r>
          </w:p>
        </w:tc>
        <w:tc>
          <w:tcPr>
            <w:tcW w:w="992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992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-43,6</w:t>
            </w:r>
          </w:p>
        </w:tc>
        <w:tc>
          <w:tcPr>
            <w:tcW w:w="992" w:type="dxa"/>
          </w:tcPr>
          <w:p w:rsidR="00023107" w:rsidRPr="00FC4EA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-58,6</w:t>
            </w:r>
          </w:p>
        </w:tc>
        <w:tc>
          <w:tcPr>
            <w:tcW w:w="1134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-272</w:t>
            </w:r>
          </w:p>
        </w:tc>
        <w:tc>
          <w:tcPr>
            <w:tcW w:w="1276" w:type="dxa"/>
          </w:tcPr>
          <w:p w:rsidR="00023107" w:rsidRPr="00D26949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</w:tr>
    </w:tbl>
    <w:p w:rsid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107" w:rsidRP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3. Обзор результатов деятельности предприятия</w:t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В приведенной ниже таблице приведены основные финансовые результаты деятельности ООО «Прометей» за весь анализируемый период и аналогичный период прошлого года.</w:t>
      </w:r>
    </w:p>
    <w:p w:rsid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74" w:type="dxa"/>
        <w:tblLayout w:type="fixed"/>
        <w:tblLook w:val="04A0"/>
      </w:tblPr>
      <w:tblGrid>
        <w:gridCol w:w="5495"/>
        <w:gridCol w:w="1276"/>
        <w:gridCol w:w="1134"/>
        <w:gridCol w:w="1170"/>
        <w:gridCol w:w="1099"/>
      </w:tblGrid>
      <w:tr w:rsidR="00023107" w:rsidTr="00273A56">
        <w:tc>
          <w:tcPr>
            <w:tcW w:w="5495" w:type="dxa"/>
            <w:vMerge w:val="restart"/>
            <w:vAlign w:val="center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gridSpan w:val="2"/>
            <w:vAlign w:val="center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тыс.руб.</w:t>
            </w:r>
          </w:p>
        </w:tc>
        <w:tc>
          <w:tcPr>
            <w:tcW w:w="2269" w:type="dxa"/>
            <w:gridSpan w:val="2"/>
            <w:vAlign w:val="center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показателя</w:t>
            </w:r>
          </w:p>
        </w:tc>
      </w:tr>
      <w:tr w:rsidR="00023107" w:rsidTr="00273A56">
        <w:tc>
          <w:tcPr>
            <w:tcW w:w="5495" w:type="dxa"/>
            <w:vMerge/>
            <w:vAlign w:val="center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70" w:type="dxa"/>
            <w:vAlign w:val="center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99" w:type="dxa"/>
            <w:vAlign w:val="center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3107" w:rsidTr="00273A56">
        <w:trPr>
          <w:trHeight w:val="279"/>
        </w:trPr>
        <w:tc>
          <w:tcPr>
            <w:tcW w:w="5495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107" w:rsidTr="00273A56">
        <w:tc>
          <w:tcPr>
            <w:tcW w:w="5495" w:type="dxa"/>
          </w:tcPr>
          <w:p w:rsidR="00023107" w:rsidRPr="00834493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1.Выручка от продаж</w:t>
            </w:r>
          </w:p>
        </w:tc>
        <w:tc>
          <w:tcPr>
            <w:tcW w:w="1276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4 248</w:t>
            </w:r>
          </w:p>
        </w:tc>
        <w:tc>
          <w:tcPr>
            <w:tcW w:w="1134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4 719</w:t>
            </w:r>
          </w:p>
        </w:tc>
        <w:tc>
          <w:tcPr>
            <w:tcW w:w="1170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+471</w:t>
            </w:r>
          </w:p>
        </w:tc>
        <w:tc>
          <w:tcPr>
            <w:tcW w:w="1099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+11,1</w:t>
            </w:r>
          </w:p>
        </w:tc>
      </w:tr>
      <w:tr w:rsidR="00023107" w:rsidTr="00273A56">
        <w:tc>
          <w:tcPr>
            <w:tcW w:w="5495" w:type="dxa"/>
          </w:tcPr>
          <w:p w:rsidR="00023107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2.Расходы по обычным видам деятельности, всего</w:t>
            </w:r>
          </w:p>
        </w:tc>
        <w:tc>
          <w:tcPr>
            <w:tcW w:w="1276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4 311</w:t>
            </w:r>
          </w:p>
        </w:tc>
        <w:tc>
          <w:tcPr>
            <w:tcW w:w="1134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4 908</w:t>
            </w:r>
          </w:p>
        </w:tc>
        <w:tc>
          <w:tcPr>
            <w:tcW w:w="1170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+597</w:t>
            </w:r>
          </w:p>
        </w:tc>
        <w:tc>
          <w:tcPr>
            <w:tcW w:w="1099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+13,8</w:t>
            </w:r>
          </w:p>
        </w:tc>
      </w:tr>
      <w:tr w:rsidR="00023107" w:rsidTr="00273A56">
        <w:tc>
          <w:tcPr>
            <w:tcW w:w="5495" w:type="dxa"/>
          </w:tcPr>
          <w:p w:rsidR="00023107" w:rsidRPr="00834493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1276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2 425</w:t>
            </w:r>
          </w:p>
        </w:tc>
        <w:tc>
          <w:tcPr>
            <w:tcW w:w="1134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2 743</w:t>
            </w:r>
          </w:p>
        </w:tc>
        <w:tc>
          <w:tcPr>
            <w:tcW w:w="1170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+318,1</w:t>
            </w:r>
          </w:p>
        </w:tc>
        <w:tc>
          <w:tcPr>
            <w:tcW w:w="1099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+13,1</w:t>
            </w:r>
          </w:p>
        </w:tc>
      </w:tr>
      <w:tr w:rsidR="00023107" w:rsidTr="00273A56">
        <w:tc>
          <w:tcPr>
            <w:tcW w:w="5495" w:type="dxa"/>
          </w:tcPr>
          <w:p w:rsidR="00023107" w:rsidRPr="00834493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276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1 886</w:t>
            </w:r>
          </w:p>
        </w:tc>
        <w:tc>
          <w:tcPr>
            <w:tcW w:w="1134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2 165</w:t>
            </w:r>
          </w:p>
        </w:tc>
        <w:tc>
          <w:tcPr>
            <w:tcW w:w="1170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+278,9</w:t>
            </w:r>
          </w:p>
        </w:tc>
        <w:tc>
          <w:tcPr>
            <w:tcW w:w="1099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+14,8</w:t>
            </w:r>
          </w:p>
        </w:tc>
      </w:tr>
      <w:tr w:rsidR="00023107" w:rsidTr="00273A56">
        <w:tc>
          <w:tcPr>
            <w:tcW w:w="5495" w:type="dxa"/>
          </w:tcPr>
          <w:p w:rsidR="00023107" w:rsidRPr="00834493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3.Прибыль (убыток) от продаж </w:t>
            </w:r>
          </w:p>
        </w:tc>
        <w:tc>
          <w:tcPr>
            <w:tcW w:w="1276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(63)</w:t>
            </w:r>
          </w:p>
        </w:tc>
        <w:tc>
          <w:tcPr>
            <w:tcW w:w="1134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(189)</w:t>
            </w:r>
          </w:p>
        </w:tc>
        <w:tc>
          <w:tcPr>
            <w:tcW w:w="1170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+126</w:t>
            </w:r>
          </w:p>
        </w:tc>
        <w:tc>
          <w:tcPr>
            <w:tcW w:w="1099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023107" w:rsidTr="00273A56">
        <w:tc>
          <w:tcPr>
            <w:tcW w:w="5495" w:type="dxa"/>
          </w:tcPr>
          <w:p w:rsidR="0002310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4.Прочие доходы</w:t>
            </w:r>
          </w:p>
        </w:tc>
        <w:tc>
          <w:tcPr>
            <w:tcW w:w="1276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70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099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273A56">
        <w:tc>
          <w:tcPr>
            <w:tcW w:w="5495" w:type="dxa"/>
          </w:tcPr>
          <w:p w:rsidR="0002310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5.Прочие расходы</w:t>
            </w:r>
          </w:p>
        </w:tc>
        <w:tc>
          <w:tcPr>
            <w:tcW w:w="1276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</w:t>
            </w:r>
          </w:p>
        </w:tc>
        <w:tc>
          <w:tcPr>
            <w:tcW w:w="1099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273A56">
        <w:tc>
          <w:tcPr>
            <w:tcW w:w="5495" w:type="dxa"/>
          </w:tcPr>
          <w:p w:rsidR="0002310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6.Прибыль (убыток) до налогообложения</w:t>
            </w:r>
          </w:p>
        </w:tc>
        <w:tc>
          <w:tcPr>
            <w:tcW w:w="1276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(130)</w:t>
            </w:r>
          </w:p>
        </w:tc>
        <w:tc>
          <w:tcPr>
            <w:tcW w:w="1170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-181</w:t>
            </w:r>
          </w:p>
        </w:tc>
        <w:tc>
          <w:tcPr>
            <w:tcW w:w="1099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023107" w:rsidTr="00273A56">
        <w:tc>
          <w:tcPr>
            <w:tcW w:w="5495" w:type="dxa"/>
          </w:tcPr>
          <w:p w:rsidR="0002310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7.Текущий налог на прибыль</w:t>
            </w:r>
          </w:p>
        </w:tc>
        <w:tc>
          <w:tcPr>
            <w:tcW w:w="1276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099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273A56">
        <w:tc>
          <w:tcPr>
            <w:tcW w:w="5495" w:type="dxa"/>
          </w:tcPr>
          <w:p w:rsidR="0002310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Прочие (ЕНВД/УСН)</w:t>
            </w:r>
          </w:p>
        </w:tc>
        <w:tc>
          <w:tcPr>
            <w:tcW w:w="1276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(172)</w:t>
            </w:r>
          </w:p>
        </w:tc>
        <w:tc>
          <w:tcPr>
            <w:tcW w:w="1134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(142)</w:t>
            </w:r>
          </w:p>
        </w:tc>
        <w:tc>
          <w:tcPr>
            <w:tcW w:w="1170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023107" w:rsidTr="00273A56">
        <w:tc>
          <w:tcPr>
            <w:tcW w:w="5495" w:type="dxa"/>
          </w:tcPr>
          <w:p w:rsidR="00023107" w:rsidRDefault="00023107" w:rsidP="00273A5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9.Чистая прибыль (убыток)</w:t>
            </w:r>
          </w:p>
        </w:tc>
        <w:tc>
          <w:tcPr>
            <w:tcW w:w="1276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(128)</w:t>
            </w:r>
          </w:p>
        </w:tc>
        <w:tc>
          <w:tcPr>
            <w:tcW w:w="1134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(272)</w:t>
            </w:r>
          </w:p>
        </w:tc>
        <w:tc>
          <w:tcPr>
            <w:tcW w:w="1170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9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023107" w:rsidTr="00273A56">
        <w:tc>
          <w:tcPr>
            <w:tcW w:w="5495" w:type="dxa"/>
          </w:tcPr>
          <w:p w:rsidR="00023107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изменение за период нераспределенной прибыли</w:t>
            </w:r>
          </w:p>
        </w:tc>
        <w:tc>
          <w:tcPr>
            <w:tcW w:w="1276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-272</w:t>
            </w:r>
          </w:p>
        </w:tc>
        <w:tc>
          <w:tcPr>
            <w:tcW w:w="1170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107" w:rsidRP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lastRenderedPageBreak/>
        <w:t xml:space="preserve">По данным Отчета за последний год организация получила убыток от продаж в размере 189 тыс.руб., что равно 4,0% от выручки. По сравнению с аналогичным периодом прошлого года убыток от продаж увеличился на 126тыс.руб., или в 3 раза. По сравнению с прошлым периодом в текущем увеличились как выручка от продаж, так и расходы по обычным видам деятельности – на 471 и 597тыс.руб. соответственно. Причем в процентном отношении изменение расходов (-13,8%) опережает изменение выручки (-11,1%). </w:t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4. Расходы по обычным видам деятельности (коммерческие расходы)</w:t>
      </w:r>
      <w:bookmarkStart w:id="0" w:name="_GoBack"/>
      <w:bookmarkEnd w:id="0"/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Сравнительный анализ расходов по обычным видам деятельности за отчетный период и аналогичный период прошлого года представлен в таблице.</w:t>
      </w:r>
    </w:p>
    <w:p w:rsid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554D">
        <w:rPr>
          <w:noProof/>
        </w:rPr>
        <w:lastRenderedPageBreak/>
        <w:drawing>
          <wp:inline distT="0" distB="0" distL="0" distR="0">
            <wp:extent cx="6570980" cy="6274925"/>
            <wp:effectExtent l="0" t="0" r="127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2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07" w:rsidRP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D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5. Прочие расходы</w:t>
      </w:r>
    </w:p>
    <w:p w:rsidR="00023107" w:rsidRPr="00023107" w:rsidRDefault="00023107" w:rsidP="000D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D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По состоянию на 31.12.2021 года в прочие расходы входят услуги банка 65,37тыс.руб.</w:t>
      </w:r>
    </w:p>
    <w:p w:rsidR="00023107" w:rsidRPr="00023107" w:rsidRDefault="00023107" w:rsidP="000D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Оплата УСНвходит в раздел «Прочие» (стр. 2460 Отчета о финансовых результатах).Сумма налога составила 141,7тыс.руб. меньше на 17,6% по сравнению с прошлом отчетном периоде, в котором система налогообложения была Единый налог на вменённый доход в отношении определённых видов деятельности (ЕНВД).</w:t>
      </w:r>
    </w:p>
    <w:p w:rsidR="00023107" w:rsidRPr="00023107" w:rsidRDefault="00023107" w:rsidP="000D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D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6. Анализ оплаты труда, производительности труда</w:t>
      </w:r>
    </w:p>
    <w:p w:rsidR="00023107" w:rsidRPr="00023107" w:rsidRDefault="00023107" w:rsidP="000D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Фонд оплаты труда в 2021 году составил 1 100,92тыс.руб., отчисления от ФОТ составили 321,04тыс.руб., другие показатели по заработной плате представлены в таблице.</w:t>
      </w:r>
    </w:p>
    <w:tbl>
      <w:tblPr>
        <w:tblStyle w:val="a9"/>
        <w:tblW w:w="9819" w:type="dxa"/>
        <w:tblLayout w:type="fixed"/>
        <w:tblLook w:val="04A0"/>
      </w:tblPr>
      <w:tblGrid>
        <w:gridCol w:w="4077"/>
        <w:gridCol w:w="1134"/>
        <w:gridCol w:w="1171"/>
        <w:gridCol w:w="1135"/>
        <w:gridCol w:w="1238"/>
        <w:gridCol w:w="1064"/>
      </w:tblGrid>
      <w:tr w:rsidR="00023107" w:rsidTr="00273A56">
        <w:tc>
          <w:tcPr>
            <w:tcW w:w="4077" w:type="dxa"/>
            <w:vMerge w:val="restart"/>
            <w:vAlign w:val="center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5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5F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171" w:type="dxa"/>
            <w:vMerge w:val="restart"/>
            <w:vAlign w:val="center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5" w:type="dxa"/>
            <w:vMerge w:val="restart"/>
            <w:vAlign w:val="center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302" w:type="dxa"/>
            <w:gridSpan w:val="2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023107" w:rsidTr="00273A56">
        <w:tc>
          <w:tcPr>
            <w:tcW w:w="4077" w:type="dxa"/>
            <w:vMerge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вед.изм.</w:t>
            </w:r>
          </w:p>
        </w:tc>
        <w:tc>
          <w:tcPr>
            <w:tcW w:w="106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023107" w:rsidTr="00273A56">
        <w:tc>
          <w:tcPr>
            <w:tcW w:w="4077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107" w:rsidTr="00273A56">
        <w:tc>
          <w:tcPr>
            <w:tcW w:w="4077" w:type="dxa"/>
          </w:tcPr>
          <w:p w:rsidR="00023107" w:rsidRPr="00046F5F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Товарооборот </w:t>
            </w:r>
          </w:p>
        </w:tc>
        <w:tc>
          <w:tcPr>
            <w:tcW w:w="113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4 248</w:t>
            </w:r>
          </w:p>
        </w:tc>
        <w:tc>
          <w:tcPr>
            <w:tcW w:w="1135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4 718</w:t>
            </w:r>
          </w:p>
        </w:tc>
        <w:tc>
          <w:tcPr>
            <w:tcW w:w="1238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+471</w:t>
            </w:r>
          </w:p>
        </w:tc>
        <w:tc>
          <w:tcPr>
            <w:tcW w:w="1064" w:type="dxa"/>
          </w:tcPr>
          <w:p w:rsidR="00023107" w:rsidRPr="00834493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+11,1</w:t>
            </w:r>
          </w:p>
        </w:tc>
      </w:tr>
      <w:tr w:rsidR="00023107" w:rsidTr="00273A56">
        <w:tc>
          <w:tcPr>
            <w:tcW w:w="4077" w:type="dxa"/>
          </w:tcPr>
          <w:p w:rsidR="00023107" w:rsidRPr="00046F5F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113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1 071</w:t>
            </w:r>
          </w:p>
        </w:tc>
        <w:tc>
          <w:tcPr>
            <w:tcW w:w="1135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1 101</w:t>
            </w:r>
          </w:p>
        </w:tc>
        <w:tc>
          <w:tcPr>
            <w:tcW w:w="1238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106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+2,8</w:t>
            </w:r>
          </w:p>
        </w:tc>
      </w:tr>
      <w:tr w:rsidR="00023107" w:rsidTr="00273A56">
        <w:tc>
          <w:tcPr>
            <w:tcW w:w="4077" w:type="dxa"/>
          </w:tcPr>
          <w:p w:rsidR="00023107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вт.ч.: оплата по договорам ГПХ </w:t>
            </w:r>
          </w:p>
        </w:tc>
        <w:tc>
          <w:tcPr>
            <w:tcW w:w="1134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273A56">
        <w:tc>
          <w:tcPr>
            <w:tcW w:w="4077" w:type="dxa"/>
          </w:tcPr>
          <w:p w:rsidR="00023107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от ФОТ</w:t>
            </w:r>
          </w:p>
        </w:tc>
        <w:tc>
          <w:tcPr>
            <w:tcW w:w="1134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5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38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+7,7</w:t>
            </w:r>
          </w:p>
        </w:tc>
        <w:tc>
          <w:tcPr>
            <w:tcW w:w="1064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</w:tr>
      <w:tr w:rsidR="00023107" w:rsidTr="00273A56">
        <w:tc>
          <w:tcPr>
            <w:tcW w:w="4077" w:type="dxa"/>
          </w:tcPr>
          <w:p w:rsidR="00023107" w:rsidRPr="00046F5F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Списочная средняя численность</w:t>
            </w:r>
          </w:p>
        </w:tc>
        <w:tc>
          <w:tcPr>
            <w:tcW w:w="113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71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273A56">
        <w:tc>
          <w:tcPr>
            <w:tcW w:w="4077" w:type="dxa"/>
          </w:tcPr>
          <w:p w:rsidR="00023107" w:rsidRPr="00046F5F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продавцов</w:t>
            </w:r>
          </w:p>
        </w:tc>
        <w:tc>
          <w:tcPr>
            <w:tcW w:w="113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71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273A56">
        <w:tc>
          <w:tcPr>
            <w:tcW w:w="4077" w:type="dxa"/>
          </w:tcPr>
          <w:p w:rsidR="00023107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134" w:type="dxa"/>
          </w:tcPr>
          <w:p w:rsidR="00023107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1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12 627</w:t>
            </w:r>
          </w:p>
        </w:tc>
        <w:tc>
          <w:tcPr>
            <w:tcW w:w="1135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13 106</w:t>
            </w:r>
          </w:p>
        </w:tc>
        <w:tc>
          <w:tcPr>
            <w:tcW w:w="1238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+477</w:t>
            </w:r>
          </w:p>
        </w:tc>
        <w:tc>
          <w:tcPr>
            <w:tcW w:w="106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+3,8</w:t>
            </w:r>
          </w:p>
        </w:tc>
      </w:tr>
      <w:tr w:rsidR="00023107" w:rsidTr="00273A56">
        <w:tc>
          <w:tcPr>
            <w:tcW w:w="4077" w:type="dxa"/>
          </w:tcPr>
          <w:p w:rsidR="00023107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на 1 работника</w:t>
            </w:r>
          </w:p>
        </w:tc>
        <w:tc>
          <w:tcPr>
            <w:tcW w:w="113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35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238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+68</w:t>
            </w:r>
          </w:p>
        </w:tc>
        <w:tc>
          <w:tcPr>
            <w:tcW w:w="106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+11,2</w:t>
            </w:r>
          </w:p>
        </w:tc>
      </w:tr>
      <w:tr w:rsidR="00023107" w:rsidTr="00273A56">
        <w:tc>
          <w:tcPr>
            <w:tcW w:w="4077" w:type="dxa"/>
          </w:tcPr>
          <w:p w:rsidR="00023107" w:rsidRPr="00046F5F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на 1 продавца</w:t>
            </w:r>
          </w:p>
        </w:tc>
        <w:tc>
          <w:tcPr>
            <w:tcW w:w="113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  <w:tc>
          <w:tcPr>
            <w:tcW w:w="1135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1 180</w:t>
            </w:r>
          </w:p>
        </w:tc>
        <w:tc>
          <w:tcPr>
            <w:tcW w:w="1238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+118</w:t>
            </w:r>
          </w:p>
        </w:tc>
        <w:tc>
          <w:tcPr>
            <w:tcW w:w="106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+11,1</w:t>
            </w:r>
          </w:p>
        </w:tc>
      </w:tr>
      <w:tr w:rsidR="00023107" w:rsidTr="00273A56">
        <w:tc>
          <w:tcPr>
            <w:tcW w:w="4077" w:type="dxa"/>
          </w:tcPr>
          <w:p w:rsidR="00023107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торговых залов</w:t>
            </w:r>
          </w:p>
        </w:tc>
        <w:tc>
          <w:tcPr>
            <w:tcW w:w="113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71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8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273A56">
        <w:tc>
          <w:tcPr>
            <w:tcW w:w="4077" w:type="dxa"/>
          </w:tcPr>
          <w:p w:rsidR="00023107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на 1 кв.м</w:t>
            </w:r>
          </w:p>
        </w:tc>
        <w:tc>
          <w:tcPr>
            <w:tcW w:w="113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8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6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+11,1</w:t>
            </w:r>
          </w:p>
        </w:tc>
      </w:tr>
      <w:tr w:rsidR="00023107" w:rsidTr="00273A56">
        <w:tc>
          <w:tcPr>
            <w:tcW w:w="4077" w:type="dxa"/>
          </w:tcPr>
          <w:p w:rsidR="00023107" w:rsidRDefault="00023107" w:rsidP="00273A56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Однодневный товарооборот (306р.д)</w:t>
            </w:r>
          </w:p>
        </w:tc>
        <w:tc>
          <w:tcPr>
            <w:tcW w:w="113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064" w:type="dxa"/>
          </w:tcPr>
          <w:p w:rsidR="00023107" w:rsidRPr="00046F5F" w:rsidRDefault="00023107" w:rsidP="00273A5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+7,1</w:t>
            </w:r>
          </w:p>
        </w:tc>
      </w:tr>
    </w:tbl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 xml:space="preserve">За 2021 год расходов на оплату труда и страховые взносы изменились незначительно+2,8 % и +2,5% соответственно, в текущем году изменений в численности не было. </w:t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7. Анализ рентабельности</w:t>
      </w:r>
    </w:p>
    <w:p w:rsidR="00023107" w:rsidRP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За отчетный период предприятие получило прибыль до налогооблажения, но в целом от финансово-хозяйственной деятельности по результатам отчетного года убыток, показатели рентабельности имеют отрицательные значения.</w:t>
      </w:r>
    </w:p>
    <w:p w:rsidR="00023107" w:rsidRP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 xml:space="preserve">Рентабельность продаж в анализируемом периоде составляет -4,0 % от полученной выручки. При этом имеет место отрицательная динамика рентабельности обычных видов деятельности по сравнению с данным показателем за такой же период прошлого года -1,5 % (изменение -2,5).Нормальное значение для отрасли розничная торговля 4% и выше. </w:t>
      </w:r>
    </w:p>
    <w:p w:rsidR="00023107" w:rsidRP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Показатель рентабельности продаж по чистой прибыли (величина чистой прибыли в каждом рубле выручки)за 2021 год составил -5,8 %, отрицательная динами по отношению такого же показателя за 2020 год (-3%). Нормальное значение для данной отрасли: 3%.</w:t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>8. Ликвидность</w:t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На конец отчетного периода коэффициент текущей ликвидности, рассчитанный как отношение текущих активов к краткосрочным обязательствам, характеризующий платежеспособность предприятия, имеет значение 1,65, отрицательная динамика по сравнению с предыдущим отчетным периодом2,16. Нормальное значение: не менее 2.</w:t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lastRenderedPageBreak/>
        <w:tab/>
        <w:t>ВЫВОД</w:t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 xml:space="preserve">По итогам 2021 года оценка финансового состояния ООО «Прометей» остается неудовлетворительным. По сравнению с прошлым отчетным периодом выручка от продажи увеличилась на 471 тыс.руб., или на 11,1%, однако несмотря на это в 2021 году в результате своей деятельности получило убыток. </w:t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>2020 год общество подверглось ограничительным мерам, связанными с распространением короновирусной инфекции,</w:t>
      </w:r>
      <w:r w:rsidR="007F2BC9"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с 30 марта 2020 года по 20 апреля 2020 года общество останавливало свою работу, с выполнением все гарантий работников, а именно с выплатой заработной платы в полном объеме. Это и то, что наш магазин реализует товары не первой необходимости, повлияло на работу.</w:t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>С 01 апреля 2020 года было принято решение обоюдно коллективом перейти на не полный рабочий день, продолжительностью 4 часа, для того чтобы сократить расходы на выплату заработной платы, страховых взносов, а так же сохранить рабочие места и магазин в целом. Это принесло положительные результаты по итогом работы за 2020 год, уменьшение убытка на 519 тыс.руб. по сравнению с аналогичным периодом прошлого года. В 2021 году часть работников по их согласию продолжают работать на условиях неполного рабочего дня (продолжительностью 4 часа), а также заключены трудовые договора на условиях внешнего совместительства. В 2021 году фонд оплаты труда и начисление страховых взносов практически остались на уровне 2020 года, увеличились на 2,8% и 2,5 % соответственно.</w:t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 xml:space="preserve">К большому сожалению наше общество не является субъектом малого предпринимательства и не получило льготы от государства в виде освобождения от уплаты страховых взносов и налогов, не получало субсидии на работников в размере минимального размера оплаты труда ни в 2020 году, ни в 2021 году. </w:t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>Налоговые обязательства выполняем вовремя в полном объеме.</w:t>
      </w:r>
    </w:p>
    <w:p w:rsidR="00023107" w:rsidRP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>В 2021 году произвели закладку канцелярских товаров для более полного охвата покупателей, и закупку по цене ниже, чем в сезон спроса. Продолжили более тщательно формировать заявки на поставки товара, учитывая сезонность продаж, спрос на товары, и покупательную способность. Стараемся делать наш ассортимент разнообразным и актуальным.</w:t>
      </w:r>
    </w:p>
    <w:p w:rsidR="00023107" w:rsidRP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В нашем магазине можно приобрести книги для детей и взрослых, учебную литературу, глобусы, открытки, канцелярские товары, наборы для творчества, журналы по вязанию и шитью, плакаты и оформительскую продукцию к праздникам, кроссворды, сувениры с изображением нашего города Михайловка и города-героя Волгоград.</w:t>
      </w:r>
    </w:p>
    <w:p w:rsid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107" w:rsidRDefault="00023107" w:rsidP="00F91E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023107" w:rsidSect="00A1755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39" w:rsidRDefault="00BE5739" w:rsidP="00A1755C">
      <w:pPr>
        <w:spacing w:after="0" w:line="240" w:lineRule="auto"/>
      </w:pPr>
      <w:r>
        <w:separator/>
      </w:r>
    </w:p>
  </w:endnote>
  <w:endnote w:type="continuationSeparator" w:id="1">
    <w:p w:rsidR="00BE5739" w:rsidRDefault="00BE5739" w:rsidP="00A1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532"/>
      <w:docPartObj>
        <w:docPartGallery w:val="Page Numbers (Bottom of Page)"/>
        <w:docPartUnique/>
      </w:docPartObj>
    </w:sdtPr>
    <w:sdtContent>
      <w:p w:rsidR="00A1755C" w:rsidRDefault="003465BB">
        <w:pPr>
          <w:pStyle w:val="ae"/>
          <w:jc w:val="center"/>
        </w:pPr>
        <w:fldSimple w:instr=" PAGE   \* MERGEFORMAT ">
          <w:r w:rsidR="007F2BC9">
            <w:rPr>
              <w:noProof/>
            </w:rPr>
            <w:t>10</w:t>
          </w:r>
        </w:fldSimple>
      </w:p>
    </w:sdtContent>
  </w:sdt>
  <w:p w:rsidR="00A1755C" w:rsidRDefault="00A175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39" w:rsidRDefault="00BE5739" w:rsidP="00A1755C">
      <w:pPr>
        <w:spacing w:after="0" w:line="240" w:lineRule="auto"/>
      </w:pPr>
      <w:r>
        <w:separator/>
      </w:r>
    </w:p>
  </w:footnote>
  <w:footnote w:type="continuationSeparator" w:id="1">
    <w:p w:rsidR="00BE5739" w:rsidRDefault="00BE5739" w:rsidP="00A1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1E0C6233"/>
    <w:multiLevelType w:val="hybridMultilevel"/>
    <w:tmpl w:val="6718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3028"/>
    <w:multiLevelType w:val="multilevel"/>
    <w:tmpl w:val="B8B6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na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EAA"/>
    <w:rsid w:val="00004279"/>
    <w:rsid w:val="00023107"/>
    <w:rsid w:val="000D2750"/>
    <w:rsid w:val="001327F4"/>
    <w:rsid w:val="0023662B"/>
    <w:rsid w:val="0025110C"/>
    <w:rsid w:val="002F46FB"/>
    <w:rsid w:val="003051A8"/>
    <w:rsid w:val="00306465"/>
    <w:rsid w:val="003465BB"/>
    <w:rsid w:val="0042383A"/>
    <w:rsid w:val="0050312D"/>
    <w:rsid w:val="00586E11"/>
    <w:rsid w:val="005F4DF2"/>
    <w:rsid w:val="0061451F"/>
    <w:rsid w:val="007041B9"/>
    <w:rsid w:val="007E1B86"/>
    <w:rsid w:val="007F2BC9"/>
    <w:rsid w:val="007F709B"/>
    <w:rsid w:val="00805733"/>
    <w:rsid w:val="00810961"/>
    <w:rsid w:val="00856255"/>
    <w:rsid w:val="00971346"/>
    <w:rsid w:val="0099249C"/>
    <w:rsid w:val="009F7658"/>
    <w:rsid w:val="00A1755C"/>
    <w:rsid w:val="00BE1AF4"/>
    <w:rsid w:val="00BE5739"/>
    <w:rsid w:val="00CE7C2D"/>
    <w:rsid w:val="00D83742"/>
    <w:rsid w:val="00F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F"/>
  </w:style>
  <w:style w:type="paragraph" w:styleId="1">
    <w:name w:val="heading 1"/>
    <w:basedOn w:val="a"/>
    <w:next w:val="a"/>
    <w:link w:val="10"/>
    <w:uiPriority w:val="9"/>
    <w:qFormat/>
    <w:rsid w:val="002F46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46FB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F46F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F46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F46FB"/>
    <w:pPr>
      <w:keepNext/>
      <w:suppressAutoHyphens/>
      <w:spacing w:after="0" w:line="240" w:lineRule="auto"/>
      <w:outlineLvl w:val="8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6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F46FB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F46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F46FB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2F46F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F46FB"/>
    <w:rPr>
      <w:rFonts w:ascii="Courier New" w:eastAsia="Times New Roman" w:hAnsi="Courier New" w:cs="Courier New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2F46FB"/>
    <w:pPr>
      <w:spacing w:after="0" w:line="240" w:lineRule="auto"/>
      <w:ind w:firstLine="12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46FB"/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2F46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2F46FB"/>
    <w:pPr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lena1">
    <w:name w:val="lena1"/>
    <w:basedOn w:val="5"/>
    <w:rsid w:val="002F46FB"/>
    <w:pPr>
      <w:keepNext/>
      <w:numPr>
        <w:ilvl w:val="4"/>
        <w:numId w:val="1"/>
      </w:numPr>
      <w:suppressAutoHyphens/>
      <w:spacing w:before="0" w:after="0"/>
      <w:jc w:val="both"/>
    </w:pPr>
    <w:rPr>
      <w:rFonts w:ascii="Times New Roman" w:hAnsi="Times New Roman"/>
      <w:b w:val="0"/>
      <w:bCs w:val="0"/>
      <w:i w:val="0"/>
      <w:iCs w:val="0"/>
      <w:sz w:val="24"/>
      <w:szCs w:val="20"/>
      <w:u w:val="single"/>
      <w:lang w:eastAsia="ar-SA"/>
    </w:rPr>
  </w:style>
  <w:style w:type="table" w:styleId="a9">
    <w:name w:val="Table Grid"/>
    <w:basedOn w:val="a1"/>
    <w:uiPriority w:val="59"/>
    <w:rsid w:val="00D837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742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D83742"/>
    <w:rPr>
      <w:strike w:val="0"/>
      <w:dstrike w:val="0"/>
      <w:color w:val="000066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A1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755C"/>
  </w:style>
  <w:style w:type="paragraph" w:styleId="ae">
    <w:name w:val="footer"/>
    <w:basedOn w:val="a"/>
    <w:link w:val="af"/>
    <w:uiPriority w:val="99"/>
    <w:unhideWhenUsed/>
    <w:rsid w:val="00A1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7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ssor.ru/zakon/nk/25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1111111111</cp:lastModifiedBy>
  <cp:revision>21</cp:revision>
  <cp:lastPrinted>2021-10-28T08:25:00Z</cp:lastPrinted>
  <dcterms:created xsi:type="dcterms:W3CDTF">2020-12-15T07:40:00Z</dcterms:created>
  <dcterms:modified xsi:type="dcterms:W3CDTF">2022-11-25T11:57:00Z</dcterms:modified>
</cp:coreProperties>
</file>