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2C" w:rsidRPr="005643FE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897897"/>
            <wp:effectExtent l="0" t="0" r="0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5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ПРОЕКТ</w:t>
      </w:r>
    </w:p>
    <w:p w:rsidR="00EB302C" w:rsidRPr="005643FE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242" w:rsidRDefault="00EB302C" w:rsidP="007D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EB302C" w:rsidRPr="005643FE" w:rsidRDefault="00EB302C" w:rsidP="007D5850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EB302C" w:rsidRPr="005643FE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02C" w:rsidRPr="005643FE" w:rsidRDefault="00EB302C" w:rsidP="007F4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65242" w:rsidRDefault="00465242" w:rsidP="00117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2C" w:rsidRPr="00944BF2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BF2">
        <w:rPr>
          <w:rFonts w:ascii="Times New Roman" w:eastAsia="Times New Roman" w:hAnsi="Times New Roman" w:cs="Times New Roman"/>
          <w:sz w:val="24"/>
          <w:szCs w:val="24"/>
        </w:rPr>
        <w:t xml:space="preserve">Принято Михайловской </w:t>
      </w:r>
    </w:p>
    <w:p w:rsidR="00EB302C" w:rsidRPr="00944BF2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BF2">
        <w:rPr>
          <w:rFonts w:ascii="Times New Roman" w:eastAsia="Times New Roman" w:hAnsi="Times New Roman" w:cs="Times New Roman"/>
          <w:sz w:val="24"/>
          <w:szCs w:val="24"/>
        </w:rPr>
        <w:t>городской Думой       №</w:t>
      </w:r>
    </w:p>
    <w:p w:rsidR="00EB302C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BF2" w:rsidRPr="00944BF2" w:rsidRDefault="00944BF2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7AC" w:rsidRPr="00E0127B" w:rsidRDefault="00EF17AC" w:rsidP="00EF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27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83E8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0127B">
        <w:rPr>
          <w:rFonts w:ascii="Times New Roman" w:hAnsi="Times New Roman" w:cs="Times New Roman"/>
          <w:b w:val="0"/>
          <w:sz w:val="28"/>
          <w:szCs w:val="28"/>
        </w:rPr>
        <w:t xml:space="preserve">орядка определения платы </w:t>
      </w:r>
    </w:p>
    <w:p w:rsidR="00EF17AC" w:rsidRPr="00E0127B" w:rsidRDefault="00EF17AC" w:rsidP="00EF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27B">
        <w:rPr>
          <w:rFonts w:ascii="Times New Roman" w:hAnsi="Times New Roman" w:cs="Times New Roman"/>
          <w:b w:val="0"/>
          <w:sz w:val="28"/>
          <w:szCs w:val="28"/>
        </w:rPr>
        <w:t>за использование земельных участков, находящихся в собственности</w:t>
      </w:r>
    </w:p>
    <w:p w:rsidR="00EF17AC" w:rsidRPr="00E0127B" w:rsidRDefault="00EF17AC" w:rsidP="00EF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27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город Михайловка Волгоградской области, </w:t>
      </w:r>
    </w:p>
    <w:p w:rsidR="00EF17AC" w:rsidRPr="00E0127B" w:rsidRDefault="00EF17AC" w:rsidP="00EF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27B">
        <w:rPr>
          <w:rFonts w:ascii="Times New Roman" w:hAnsi="Times New Roman" w:cs="Times New Roman"/>
          <w:b w:val="0"/>
          <w:sz w:val="28"/>
          <w:szCs w:val="28"/>
        </w:rPr>
        <w:t xml:space="preserve">для возведения гражданами гаражей, </w:t>
      </w:r>
    </w:p>
    <w:p w:rsidR="00EF17AC" w:rsidRPr="00E0127B" w:rsidRDefault="00EF17AC" w:rsidP="00EF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27B">
        <w:rPr>
          <w:rFonts w:ascii="Times New Roman" w:hAnsi="Times New Roman" w:cs="Times New Roman"/>
          <w:b w:val="0"/>
          <w:sz w:val="28"/>
          <w:szCs w:val="28"/>
        </w:rPr>
        <w:t>являющихся некапитальными сооружениями</w:t>
      </w:r>
    </w:p>
    <w:p w:rsidR="00EF17AC" w:rsidRPr="0022083A" w:rsidRDefault="00EF17AC" w:rsidP="00EF1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AC" w:rsidRPr="0022083A" w:rsidRDefault="00EF17AC" w:rsidP="00EF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8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2083A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 статьи 39.36-1</w:t>
        </w:r>
      </w:hyperlink>
      <w:r w:rsidRPr="0022083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Михайловская городская Дума Волгоградской области р е ш и л а:</w:t>
      </w:r>
    </w:p>
    <w:p w:rsidR="00EF17AC" w:rsidRPr="0022083A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83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bookmarkStart w:id="0" w:name="_GoBack"/>
      <w:r w:rsidR="003A0AB5">
        <w:rPr>
          <w:rFonts w:ascii="Times New Roman" w:hAnsi="Times New Roman" w:cs="Times New Roman"/>
          <w:color w:val="0000FF"/>
          <w:sz w:val="28"/>
          <w:szCs w:val="28"/>
        </w:rPr>
        <w:fldChar w:fldCharType="begin"/>
      </w:r>
      <w:r w:rsidR="00E16DB0">
        <w:rPr>
          <w:rFonts w:ascii="Times New Roman" w:hAnsi="Times New Roman" w:cs="Times New Roman"/>
          <w:color w:val="0000FF"/>
          <w:sz w:val="28"/>
          <w:szCs w:val="28"/>
        </w:rPr>
        <w:instrText xml:space="preserve"> HYPERLINK \l "P31" </w:instrText>
      </w:r>
      <w:r w:rsidR="003A0AB5">
        <w:rPr>
          <w:rFonts w:ascii="Times New Roman" w:hAnsi="Times New Roman" w:cs="Times New Roman"/>
          <w:color w:val="0000FF"/>
          <w:sz w:val="28"/>
          <w:szCs w:val="28"/>
        </w:rPr>
        <w:fldChar w:fldCharType="separate"/>
      </w:r>
      <w:r w:rsidRPr="0022083A">
        <w:rPr>
          <w:rFonts w:ascii="Times New Roman" w:hAnsi="Times New Roman" w:cs="Times New Roman"/>
          <w:color w:val="0000FF"/>
          <w:sz w:val="28"/>
          <w:szCs w:val="28"/>
        </w:rPr>
        <w:t>Порядок</w:t>
      </w:r>
      <w:r w:rsidR="003A0AB5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22083A">
        <w:rPr>
          <w:rFonts w:ascii="Times New Roman" w:hAnsi="Times New Roman" w:cs="Times New Roman"/>
          <w:sz w:val="28"/>
          <w:szCs w:val="28"/>
        </w:rPr>
        <w:t xml:space="preserve"> определения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  <w:r w:rsidRPr="0022083A">
        <w:rPr>
          <w:rFonts w:ascii="Times New Roman" w:hAnsi="Times New Roman" w:cs="Times New Roman"/>
          <w:sz w:val="28"/>
          <w:szCs w:val="28"/>
        </w:rPr>
        <w:t>, для возведения гражданами гаражей, являющихся некапитальными сооружениями.</w:t>
      </w:r>
    </w:p>
    <w:bookmarkEnd w:id="0"/>
    <w:p w:rsidR="00EF17AC" w:rsidRPr="0022083A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83A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3E45B4">
        <w:rPr>
          <w:rFonts w:ascii="Times New Roman" w:hAnsi="Times New Roman" w:cs="Times New Roman"/>
          <w:sz w:val="28"/>
          <w:szCs w:val="28"/>
        </w:rPr>
        <w:t>решение</w:t>
      </w:r>
      <w:r w:rsidRPr="0022083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2083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 свое действие на отношения, возникшие с 01 сентября 2021 г.</w:t>
      </w:r>
    </w:p>
    <w:p w:rsidR="00EF17AC" w:rsidRDefault="00EF17AC" w:rsidP="00EF1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AC" w:rsidRPr="0022083A" w:rsidRDefault="00EF17AC" w:rsidP="00EF1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AC" w:rsidRP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F17AC" w:rsidRP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t xml:space="preserve">Михайловской городской Думы                                                                                                   Волгоградской области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В.Н. Гудков</w:t>
      </w:r>
    </w:p>
    <w:p w:rsidR="00EF17AC" w:rsidRP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7AC" w:rsidRP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</w:p>
    <w:p w:rsidR="00EF17AC" w:rsidRP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t>город Михайловка</w:t>
      </w:r>
    </w:p>
    <w:p w:rsidR="00EF17AC" w:rsidRP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F17AC" w:rsidRPr="00EF17AC">
          <w:pgSz w:w="11906" w:h="16838"/>
          <w:pgMar w:top="1134" w:right="1247" w:bottom="913" w:left="1531" w:header="709" w:footer="709" w:gutter="0"/>
          <w:cols w:space="0"/>
          <w:docGrid w:linePitch="360"/>
        </w:sect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            А.В.Тюрин          </w:t>
      </w:r>
    </w:p>
    <w:p w:rsidR="00EF17AC" w:rsidRPr="00EF17AC" w:rsidRDefault="00EF17AC" w:rsidP="00EF1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EF17AC" w:rsidRPr="00EF17AC" w:rsidRDefault="00EF17AC" w:rsidP="00EF1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E45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17AC">
        <w:rPr>
          <w:rFonts w:ascii="Times New Roman" w:eastAsia="Times New Roman" w:hAnsi="Times New Roman" w:cs="Times New Roman"/>
          <w:sz w:val="28"/>
          <w:szCs w:val="28"/>
        </w:rPr>
        <w:t xml:space="preserve">ешению Михайловской городской Думы </w:t>
      </w:r>
    </w:p>
    <w:p w:rsidR="00EF17AC" w:rsidRPr="00EF17AC" w:rsidRDefault="00EF17AC" w:rsidP="00EF1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t>от _________202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17A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EF17A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FB2C3A" w:rsidRDefault="00FB2C3A" w:rsidP="00EF1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C3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31" w:history="1">
        <w:r w:rsidRPr="00FB2C3A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FB2C3A">
        <w:rPr>
          <w:rFonts w:ascii="Times New Roman" w:hAnsi="Times New Roman" w:cs="Times New Roman"/>
          <w:sz w:val="28"/>
          <w:szCs w:val="28"/>
        </w:rPr>
        <w:t>ка</w:t>
      </w:r>
      <w:r w:rsidRPr="0022083A">
        <w:rPr>
          <w:rFonts w:ascii="Times New Roman" w:hAnsi="Times New Roman" w:cs="Times New Roman"/>
          <w:sz w:val="28"/>
          <w:szCs w:val="28"/>
        </w:rPr>
        <w:t xml:space="preserve"> определения платы за </w:t>
      </w:r>
    </w:p>
    <w:p w:rsidR="00FB2C3A" w:rsidRDefault="00FB2C3A" w:rsidP="00EF1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83A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участков, </w:t>
      </w:r>
    </w:p>
    <w:p w:rsidR="00FB2C3A" w:rsidRDefault="00FB2C3A" w:rsidP="00EF1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83A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B2C3A" w:rsidRDefault="00FB2C3A" w:rsidP="00EF1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Михайловка Волгоградской области</w:t>
      </w:r>
      <w:r w:rsidRPr="002208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2C3A" w:rsidRDefault="00FB2C3A" w:rsidP="00EF1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83A">
        <w:rPr>
          <w:rFonts w:ascii="Times New Roman" w:hAnsi="Times New Roman" w:cs="Times New Roman"/>
          <w:sz w:val="28"/>
          <w:szCs w:val="28"/>
        </w:rPr>
        <w:t xml:space="preserve">для возведения гражданами гаражей, </w:t>
      </w:r>
    </w:p>
    <w:p w:rsidR="00EF17AC" w:rsidRPr="00EF17AC" w:rsidRDefault="00FB2C3A" w:rsidP="00EF1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083A">
        <w:rPr>
          <w:rFonts w:ascii="Times New Roman" w:hAnsi="Times New Roman" w:cs="Times New Roman"/>
          <w:sz w:val="28"/>
          <w:szCs w:val="28"/>
        </w:rPr>
        <w:t>являющихся некапитальными сооружениями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17AC" w:rsidRPr="0022083A" w:rsidRDefault="00EF17AC" w:rsidP="00EF17AC">
      <w:pPr>
        <w:pStyle w:val="ConsPlusNormal"/>
        <w:jc w:val="both"/>
        <w:rPr>
          <w:rFonts w:ascii="Times New Roman" w:hAnsi="Times New Roman" w:cs="Times New Roman"/>
        </w:rPr>
      </w:pPr>
    </w:p>
    <w:p w:rsidR="00EF17AC" w:rsidRPr="00E0127B" w:rsidRDefault="00EF17AC" w:rsidP="00EF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E0127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F17AC" w:rsidRPr="00E0127B" w:rsidRDefault="00EF17AC" w:rsidP="00EF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27B">
        <w:rPr>
          <w:rFonts w:ascii="Times New Roman" w:hAnsi="Times New Roman" w:cs="Times New Roman"/>
          <w:b w:val="0"/>
          <w:sz w:val="28"/>
          <w:szCs w:val="28"/>
        </w:rPr>
        <w:t>определения платы за использование земельных участков,</w:t>
      </w:r>
    </w:p>
    <w:p w:rsidR="00EF17AC" w:rsidRPr="00E0127B" w:rsidRDefault="00EF17AC" w:rsidP="00EF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27B">
        <w:rPr>
          <w:rFonts w:ascii="Times New Roman" w:hAnsi="Times New Roman" w:cs="Times New Roman"/>
          <w:b w:val="0"/>
          <w:sz w:val="28"/>
          <w:szCs w:val="28"/>
        </w:rPr>
        <w:t>находящихся в собственности городского округа город Михайловка Волгоградской области, для возведения гражданами</w:t>
      </w:r>
    </w:p>
    <w:p w:rsidR="00EF17AC" w:rsidRPr="00E0127B" w:rsidRDefault="00EF17AC" w:rsidP="00EF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27B">
        <w:rPr>
          <w:rFonts w:ascii="Times New Roman" w:hAnsi="Times New Roman" w:cs="Times New Roman"/>
          <w:b w:val="0"/>
          <w:sz w:val="28"/>
          <w:szCs w:val="28"/>
        </w:rPr>
        <w:t>гаражей, являющихся некапитальными сооружениями</w:t>
      </w:r>
    </w:p>
    <w:p w:rsidR="00EF17AC" w:rsidRPr="0022083A" w:rsidRDefault="00EF17AC" w:rsidP="00EF17AC">
      <w:pPr>
        <w:pStyle w:val="ConsPlusNormal"/>
        <w:jc w:val="both"/>
        <w:rPr>
          <w:rFonts w:ascii="Times New Roman" w:hAnsi="Times New Roman" w:cs="Times New Roman"/>
        </w:rPr>
      </w:pPr>
    </w:p>
    <w:p w:rsidR="00EF17AC" w:rsidRPr="008B165E" w:rsidRDefault="00EF17AC" w:rsidP="00EF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определения платы за использование земельных участков, находящихся в собственности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65E">
        <w:rPr>
          <w:rFonts w:ascii="Times New Roman" w:hAnsi="Times New Roman" w:cs="Times New Roman"/>
          <w:sz w:val="28"/>
          <w:szCs w:val="28"/>
        </w:rPr>
        <w:t xml:space="preserve"> для возведения гражданами гаражей, являющихся некапитальными сооружениями.</w:t>
      </w:r>
    </w:p>
    <w:p w:rsidR="00EF17AC" w:rsidRPr="008B165E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8B165E">
        <w:rPr>
          <w:rFonts w:ascii="Times New Roman" w:hAnsi="Times New Roman" w:cs="Times New Roman"/>
          <w:sz w:val="28"/>
          <w:szCs w:val="28"/>
        </w:rPr>
        <w:t xml:space="preserve">2. Размер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Михайловка В</w:t>
      </w:r>
      <w:r w:rsidRPr="008B165E">
        <w:rPr>
          <w:rFonts w:ascii="Times New Roman" w:hAnsi="Times New Roman" w:cs="Times New Roman"/>
          <w:sz w:val="28"/>
          <w:szCs w:val="28"/>
        </w:rPr>
        <w:t>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65E">
        <w:rPr>
          <w:rFonts w:ascii="Times New Roman" w:hAnsi="Times New Roman" w:cs="Times New Roman"/>
          <w:sz w:val="28"/>
          <w:szCs w:val="28"/>
        </w:rPr>
        <w:t xml:space="preserve"> для возведения гражданами гаражей, являющихся некапитальными сооружениями, определяется в расчете на год по следующей формуле:</w:t>
      </w:r>
    </w:p>
    <w:p w:rsidR="00EF17AC" w:rsidRPr="008B165E" w:rsidRDefault="00EF17AC" w:rsidP="00EF1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AC" w:rsidRPr="008B165E" w:rsidRDefault="00EF17AC" w:rsidP="00EF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74825" cy="430530"/>
            <wp:effectExtent l="0" t="0" r="0" b="0"/>
            <wp:docPr id="3" name="Рисунок 3" descr="base_23732_23807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2_238071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AC" w:rsidRPr="008B165E" w:rsidRDefault="00EF17AC" w:rsidP="00EF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>Рп - размер платы (рублей);</w:t>
      </w:r>
    </w:p>
    <w:p w:rsidR="00EF17AC" w:rsidRPr="008B165E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(рублей);</w:t>
      </w:r>
    </w:p>
    <w:p w:rsidR="00EF17AC" w:rsidRPr="008B165E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 xml:space="preserve">Нст - налоговая ставка земельного налога, установленная </w:t>
      </w:r>
      <w:hyperlink r:id="rId10" w:history="1">
        <w:r w:rsidRPr="008B165E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 статьи 394</w:t>
        </w:r>
      </w:hyperlink>
      <w:r w:rsidRPr="008B165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(процентов);</w:t>
      </w:r>
    </w:p>
    <w:p w:rsidR="00EF17AC" w:rsidRPr="008B165E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>К - коэффициент площади земельного участка. Применяется равным 1 в случае использования всего земельного участка.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EF17AC" w:rsidRPr="008B165E" w:rsidRDefault="00EF17AC" w:rsidP="00EF1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AC" w:rsidRPr="008B165E" w:rsidRDefault="00EF17AC" w:rsidP="00EF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210310" cy="457200"/>
            <wp:effectExtent l="0" t="0" r="0" b="0"/>
            <wp:docPr id="2" name="Рисунок 2" descr="base_23732_23807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2_238071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AC" w:rsidRPr="008B165E" w:rsidRDefault="00EF17AC" w:rsidP="00EF1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AC" w:rsidRPr="008B165E" w:rsidRDefault="00EF17AC" w:rsidP="00EF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>Пч - площадь части земельного участка, используемого для возведения гаража, являющегося некапитальным сооружением (кв. метров);</w:t>
      </w:r>
    </w:p>
    <w:p w:rsidR="00EF17AC" w:rsidRPr="008B165E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>Побщ - общая площадь земельного участка (кв. метров).</w:t>
      </w:r>
    </w:p>
    <w:p w:rsidR="00EF17AC" w:rsidRPr="008B165E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8B165E">
        <w:rPr>
          <w:rFonts w:ascii="Times New Roman" w:hAnsi="Times New Roman" w:cs="Times New Roman"/>
          <w:sz w:val="28"/>
          <w:szCs w:val="28"/>
        </w:rPr>
        <w:t xml:space="preserve">3. В случае если не определена кадастровая стоимость земельных </w:t>
      </w:r>
      <w:r w:rsidRPr="008B165E">
        <w:rPr>
          <w:rFonts w:ascii="Times New Roman" w:hAnsi="Times New Roman" w:cs="Times New Roman"/>
          <w:sz w:val="28"/>
          <w:szCs w:val="28"/>
        </w:rPr>
        <w:lastRenderedPageBreak/>
        <w:t xml:space="preserve">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Михайловка В</w:t>
      </w:r>
      <w:r w:rsidRPr="008B165E">
        <w:rPr>
          <w:rFonts w:ascii="Times New Roman" w:hAnsi="Times New Roman" w:cs="Times New Roman"/>
          <w:sz w:val="28"/>
          <w:szCs w:val="28"/>
        </w:rPr>
        <w:t>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65E">
        <w:rPr>
          <w:rFonts w:ascii="Times New Roman" w:hAnsi="Times New Roman" w:cs="Times New Roman"/>
          <w:sz w:val="28"/>
          <w:szCs w:val="28"/>
        </w:rPr>
        <w:t>размер платы за использование указанных земельных участков для возведения гражданами гаражей, являющихся некапитальными сооружениями, определяется в расчете на год по следующей формуле:</w:t>
      </w:r>
    </w:p>
    <w:p w:rsidR="00EF17AC" w:rsidRPr="008B165E" w:rsidRDefault="00EF17AC" w:rsidP="00EF1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AC" w:rsidRPr="008B165E" w:rsidRDefault="00EF17AC" w:rsidP="00EF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02130" cy="430530"/>
            <wp:effectExtent l="0" t="0" r="0" b="0"/>
            <wp:docPr id="1" name="Рисунок 1" descr="base_23732_23807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32_238071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AC" w:rsidRPr="008B165E" w:rsidRDefault="00EF17AC" w:rsidP="00EF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>Рп - размер платы (рублей);</w:t>
      </w:r>
    </w:p>
    <w:p w:rsidR="00EF17AC" w:rsidRPr="008B165E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 xml:space="preserve">Су - средний уровень кадастровой стоимости земель населенных пунктов по городскому </w:t>
      </w:r>
      <w:r w:rsidRPr="00662FCB">
        <w:rPr>
          <w:rFonts w:ascii="Times New Roman" w:hAnsi="Times New Roman" w:cs="Times New Roman"/>
          <w:sz w:val="28"/>
          <w:szCs w:val="28"/>
        </w:rPr>
        <w:t xml:space="preserve">округу город Михайловка Волгоградской области сегмента </w:t>
      </w:r>
      <w:r w:rsidRPr="008B165E">
        <w:rPr>
          <w:rFonts w:ascii="Times New Roman" w:hAnsi="Times New Roman" w:cs="Times New Roman"/>
          <w:sz w:val="28"/>
          <w:szCs w:val="28"/>
        </w:rPr>
        <w:t>вида использования "Транспорт", определенный приказом комитета по управлению государственным имуществом Волгоградской области об утверждении результатов государственной кадастровой оценки земельных участков категории "Земли населенных пунктов" на территории Волгоградской области;</w:t>
      </w:r>
    </w:p>
    <w:p w:rsidR="00EF17AC" w:rsidRPr="008B165E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>П - площадь земельного участка (части земельного участка), используемых для возведения гражданами гаражей, являющихся некапитальными сооружениями (кв. метров);</w:t>
      </w:r>
    </w:p>
    <w:p w:rsidR="00EF17AC" w:rsidRPr="008B165E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 xml:space="preserve">Нст - налоговая ставка земельного налога, установленная </w:t>
      </w:r>
      <w:hyperlink r:id="rId13" w:history="1">
        <w:r w:rsidRPr="008B165E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 статьи 394</w:t>
        </w:r>
      </w:hyperlink>
      <w:r w:rsidRPr="008B165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(процентов).</w:t>
      </w:r>
    </w:p>
    <w:p w:rsidR="00EF17AC" w:rsidRPr="008B165E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>4. В случае если срок использования 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 (части земельного участка) </w:t>
      </w:r>
      <w:r w:rsidRPr="008B165E">
        <w:rPr>
          <w:rFonts w:ascii="Times New Roman" w:hAnsi="Times New Roman" w:cs="Times New Roman"/>
          <w:sz w:val="28"/>
          <w:szCs w:val="28"/>
        </w:rPr>
        <w:t xml:space="preserve">для возведения гражданами гаражей, являющихся некапитальными сооружениями, составляет менее года, то размер платы рассчитывается в соответствии с формулами, указанными в </w:t>
      </w:r>
      <w:hyperlink w:anchor="P39" w:history="1">
        <w:r w:rsidRPr="008B165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8B165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Pr="008B165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B165E">
        <w:rPr>
          <w:rFonts w:ascii="Times New Roman" w:hAnsi="Times New Roman" w:cs="Times New Roman"/>
          <w:sz w:val="28"/>
          <w:szCs w:val="28"/>
        </w:rPr>
        <w:t xml:space="preserve"> настоящего Порядка, пропорционально количеству дней, планируемых для размещения объектов.</w:t>
      </w:r>
    </w:p>
    <w:p w:rsidR="00EF17AC" w:rsidRPr="008B165E" w:rsidRDefault="00EF17AC" w:rsidP="00EF1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5E">
        <w:rPr>
          <w:rFonts w:ascii="Times New Roman" w:hAnsi="Times New Roman" w:cs="Times New Roman"/>
          <w:sz w:val="28"/>
          <w:szCs w:val="28"/>
        </w:rPr>
        <w:t xml:space="preserve">5. Размер платы за использование земельных участков для возведения гражданами гаражей, являющихся некапитальными сооружениями, в отношении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  <w:r w:rsidRPr="008B165E">
        <w:rPr>
          <w:rFonts w:ascii="Times New Roman" w:hAnsi="Times New Roman" w:cs="Times New Roman"/>
          <w:sz w:val="28"/>
          <w:szCs w:val="28"/>
        </w:rPr>
        <w:t>, ежегодно, но не ранее чем через год после заключения договора на использование земельных участков, находящихся в  собственности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  <w:r w:rsidRPr="008B165E">
        <w:rPr>
          <w:rFonts w:ascii="Times New Roman" w:hAnsi="Times New Roman" w:cs="Times New Roman"/>
          <w:sz w:val="28"/>
          <w:szCs w:val="28"/>
        </w:rPr>
        <w:t xml:space="preserve">, для возведения гражданами гаражей, являющихся некапитальными сооружениями, изменяется в одностороннем порядке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Михайловка</w:t>
      </w:r>
      <w:r w:rsidRPr="008B165E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865BE6">
        <w:rPr>
          <w:rFonts w:ascii="Times New Roman" w:hAnsi="Times New Roman" w:cs="Times New Roman"/>
          <w:sz w:val="28"/>
          <w:szCs w:val="28"/>
        </w:rPr>
        <w:t>на размер уровня инфляции, установленного в федеральном законе о федеральном бюджете на очередной финансовый год</w:t>
      </w:r>
      <w:r w:rsidRPr="008B165E">
        <w:rPr>
          <w:rFonts w:ascii="Times New Roman" w:hAnsi="Times New Roman" w:cs="Times New Roman"/>
          <w:sz w:val="28"/>
          <w:szCs w:val="28"/>
        </w:rPr>
        <w:t xml:space="preserve"> и на плановый период, который применяется ежегодно по состоянию на начало очередного финансового года начиная с года, следующего за годом, в котором заключен указанный договор.</w:t>
      </w:r>
    </w:p>
    <w:p w:rsidR="00262D87" w:rsidRPr="00262D87" w:rsidRDefault="00262D87" w:rsidP="00EF17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262D87" w:rsidRPr="00262D87" w:rsidSect="00262D87">
      <w:pgSz w:w="11906" w:h="16838"/>
      <w:pgMar w:top="709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B3" w:rsidRDefault="008F78B3" w:rsidP="0041557A">
      <w:pPr>
        <w:spacing w:after="0" w:line="240" w:lineRule="auto"/>
      </w:pPr>
      <w:r>
        <w:separator/>
      </w:r>
    </w:p>
  </w:endnote>
  <w:endnote w:type="continuationSeparator" w:id="1">
    <w:p w:rsidR="008F78B3" w:rsidRDefault="008F78B3" w:rsidP="0041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B3" w:rsidRDefault="008F78B3" w:rsidP="0041557A">
      <w:pPr>
        <w:spacing w:after="0" w:line="240" w:lineRule="auto"/>
      </w:pPr>
      <w:r>
        <w:separator/>
      </w:r>
    </w:p>
  </w:footnote>
  <w:footnote w:type="continuationSeparator" w:id="1">
    <w:p w:rsidR="008F78B3" w:rsidRDefault="008F78B3" w:rsidP="0041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7807"/>
    <w:multiLevelType w:val="multilevel"/>
    <w:tmpl w:val="AACCC2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color w:val="auto"/>
      </w:rPr>
    </w:lvl>
  </w:abstractNum>
  <w:abstractNum w:abstractNumId="1">
    <w:nsid w:val="677A6EAE"/>
    <w:multiLevelType w:val="hybridMultilevel"/>
    <w:tmpl w:val="16BCA08A"/>
    <w:lvl w:ilvl="0" w:tplc="B008A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02C"/>
    <w:rsid w:val="00006B88"/>
    <w:rsid w:val="000130D0"/>
    <w:rsid w:val="0002308A"/>
    <w:rsid w:val="00067B8D"/>
    <w:rsid w:val="00091FCB"/>
    <w:rsid w:val="000A71D4"/>
    <w:rsid w:val="000B7FA5"/>
    <w:rsid w:val="000E0DFA"/>
    <w:rsid w:val="001177F7"/>
    <w:rsid w:val="00182627"/>
    <w:rsid w:val="00197F4C"/>
    <w:rsid w:val="00232315"/>
    <w:rsid w:val="00241D5B"/>
    <w:rsid w:val="00262D87"/>
    <w:rsid w:val="00267C2D"/>
    <w:rsid w:val="00273679"/>
    <w:rsid w:val="002763CB"/>
    <w:rsid w:val="002B5F1F"/>
    <w:rsid w:val="002D00A8"/>
    <w:rsid w:val="002E7670"/>
    <w:rsid w:val="00322648"/>
    <w:rsid w:val="00373780"/>
    <w:rsid w:val="00386867"/>
    <w:rsid w:val="003A0AB5"/>
    <w:rsid w:val="003A7044"/>
    <w:rsid w:val="003D6673"/>
    <w:rsid w:val="003E45B4"/>
    <w:rsid w:val="003E49DF"/>
    <w:rsid w:val="00411423"/>
    <w:rsid w:val="0041557A"/>
    <w:rsid w:val="00415BE7"/>
    <w:rsid w:val="00430A81"/>
    <w:rsid w:val="00465242"/>
    <w:rsid w:val="00493063"/>
    <w:rsid w:val="00496BC8"/>
    <w:rsid w:val="004A1CA7"/>
    <w:rsid w:val="004B1A53"/>
    <w:rsid w:val="004C7F29"/>
    <w:rsid w:val="004D032A"/>
    <w:rsid w:val="004F286E"/>
    <w:rsid w:val="0052414F"/>
    <w:rsid w:val="00574E55"/>
    <w:rsid w:val="00580236"/>
    <w:rsid w:val="00583F83"/>
    <w:rsid w:val="005D16C7"/>
    <w:rsid w:val="005D551B"/>
    <w:rsid w:val="005E0ACA"/>
    <w:rsid w:val="005F010E"/>
    <w:rsid w:val="005F0A67"/>
    <w:rsid w:val="00612C3D"/>
    <w:rsid w:val="00632FEC"/>
    <w:rsid w:val="00640590"/>
    <w:rsid w:val="0065694D"/>
    <w:rsid w:val="00683E80"/>
    <w:rsid w:val="006973B4"/>
    <w:rsid w:val="006B4274"/>
    <w:rsid w:val="006B43CF"/>
    <w:rsid w:val="006F71F5"/>
    <w:rsid w:val="00702912"/>
    <w:rsid w:val="00710D28"/>
    <w:rsid w:val="007245EB"/>
    <w:rsid w:val="00731D55"/>
    <w:rsid w:val="00736F39"/>
    <w:rsid w:val="00765975"/>
    <w:rsid w:val="00782988"/>
    <w:rsid w:val="00793E05"/>
    <w:rsid w:val="007A0AA1"/>
    <w:rsid w:val="007D5850"/>
    <w:rsid w:val="007E6944"/>
    <w:rsid w:val="007F4E0D"/>
    <w:rsid w:val="008019D2"/>
    <w:rsid w:val="00803D8F"/>
    <w:rsid w:val="0081052F"/>
    <w:rsid w:val="00811E2F"/>
    <w:rsid w:val="00825623"/>
    <w:rsid w:val="00826E57"/>
    <w:rsid w:val="008332FB"/>
    <w:rsid w:val="00840877"/>
    <w:rsid w:val="00840AFF"/>
    <w:rsid w:val="008530EC"/>
    <w:rsid w:val="00854F6C"/>
    <w:rsid w:val="00856438"/>
    <w:rsid w:val="00867292"/>
    <w:rsid w:val="00875B96"/>
    <w:rsid w:val="008A400C"/>
    <w:rsid w:val="008B561E"/>
    <w:rsid w:val="008B7D3B"/>
    <w:rsid w:val="008E6B01"/>
    <w:rsid w:val="008F01ED"/>
    <w:rsid w:val="008F4BBE"/>
    <w:rsid w:val="008F78B3"/>
    <w:rsid w:val="00910218"/>
    <w:rsid w:val="0091228C"/>
    <w:rsid w:val="00925143"/>
    <w:rsid w:val="00937975"/>
    <w:rsid w:val="00944BF2"/>
    <w:rsid w:val="009A36AB"/>
    <w:rsid w:val="009B3034"/>
    <w:rsid w:val="009C06D7"/>
    <w:rsid w:val="009F0CFF"/>
    <w:rsid w:val="009F5F5F"/>
    <w:rsid w:val="00A033AB"/>
    <w:rsid w:val="00A054EF"/>
    <w:rsid w:val="00A37202"/>
    <w:rsid w:val="00A45C11"/>
    <w:rsid w:val="00A77FCC"/>
    <w:rsid w:val="00A94AFB"/>
    <w:rsid w:val="00AA48F4"/>
    <w:rsid w:val="00AC2340"/>
    <w:rsid w:val="00AE7345"/>
    <w:rsid w:val="00AF5750"/>
    <w:rsid w:val="00B0165E"/>
    <w:rsid w:val="00B13B8C"/>
    <w:rsid w:val="00B557D1"/>
    <w:rsid w:val="00B61899"/>
    <w:rsid w:val="00B61B69"/>
    <w:rsid w:val="00B73E13"/>
    <w:rsid w:val="00B904E1"/>
    <w:rsid w:val="00BD24FA"/>
    <w:rsid w:val="00BE4BEE"/>
    <w:rsid w:val="00C05931"/>
    <w:rsid w:val="00C14F88"/>
    <w:rsid w:val="00C92A45"/>
    <w:rsid w:val="00C93EDC"/>
    <w:rsid w:val="00C940E3"/>
    <w:rsid w:val="00CA48EA"/>
    <w:rsid w:val="00CE25E6"/>
    <w:rsid w:val="00CE622B"/>
    <w:rsid w:val="00CF6E70"/>
    <w:rsid w:val="00D1310B"/>
    <w:rsid w:val="00D33431"/>
    <w:rsid w:val="00D343B5"/>
    <w:rsid w:val="00D468B9"/>
    <w:rsid w:val="00D80EF8"/>
    <w:rsid w:val="00D82449"/>
    <w:rsid w:val="00D91CC0"/>
    <w:rsid w:val="00DB135E"/>
    <w:rsid w:val="00DC044B"/>
    <w:rsid w:val="00DD02B6"/>
    <w:rsid w:val="00DE7769"/>
    <w:rsid w:val="00E00B44"/>
    <w:rsid w:val="00E16DB0"/>
    <w:rsid w:val="00E23128"/>
    <w:rsid w:val="00E24150"/>
    <w:rsid w:val="00E628D9"/>
    <w:rsid w:val="00E62F60"/>
    <w:rsid w:val="00E67E41"/>
    <w:rsid w:val="00E84C33"/>
    <w:rsid w:val="00E92958"/>
    <w:rsid w:val="00EA7211"/>
    <w:rsid w:val="00EB302C"/>
    <w:rsid w:val="00ED331A"/>
    <w:rsid w:val="00ED6729"/>
    <w:rsid w:val="00EF17AC"/>
    <w:rsid w:val="00F1245A"/>
    <w:rsid w:val="00F13032"/>
    <w:rsid w:val="00F77363"/>
    <w:rsid w:val="00FB2C3A"/>
    <w:rsid w:val="00FD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03D8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803D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803D8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803D8F"/>
    <w:rPr>
      <w:rFonts w:ascii="Arial Narrow" w:hAnsi="Arial Narrow" w:cs="Arial Narrow"/>
      <w:sz w:val="22"/>
      <w:szCs w:val="22"/>
    </w:rPr>
  </w:style>
  <w:style w:type="paragraph" w:styleId="a5">
    <w:name w:val="No Spacing"/>
    <w:uiPriority w:val="1"/>
    <w:qFormat/>
    <w:rsid w:val="002736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E00B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E00B4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57A"/>
  </w:style>
  <w:style w:type="character" w:styleId="aa">
    <w:name w:val="Hyperlink"/>
    <w:basedOn w:val="a0"/>
    <w:uiPriority w:val="99"/>
    <w:unhideWhenUsed/>
    <w:rsid w:val="00E67E4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30D0"/>
    <w:pPr>
      <w:ind w:left="720"/>
      <w:contextualSpacing/>
    </w:pPr>
  </w:style>
  <w:style w:type="paragraph" w:customStyle="1" w:styleId="ConsPlusNormal">
    <w:name w:val="ConsPlusNormal"/>
    <w:rsid w:val="00EF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38EFE4E0E2245A113818C44AA39F3F7A1D1E2ABCA7E9E20CF36DC35F288245F54E424C2D616F01E4C605D97C8A3FA852922C9C664o5g6H" TargetMode="External"/><Relationship Id="rId13" Type="http://schemas.openxmlformats.org/officeDocument/2006/relationships/hyperlink" Target="consultantplus://offline/ref=D4A38EFE4E0E2245A113818C44AA39F3F7A1D3E8A4C97E9E20CF36DC35F288245F54E427C2DF18F01E4C605D97C8A3FA852922C9C664o5g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A38EFE4E0E2245A113818C44AA39F3F7A1D3E8A4C97E9E20CF36DC35F288245F54E427C2DF18F01E4C605D97C8A3FA852922C9C664o5g6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8</cp:revision>
  <cp:lastPrinted>2022-06-03T05:06:00Z</cp:lastPrinted>
  <dcterms:created xsi:type="dcterms:W3CDTF">2019-10-18T11:29:00Z</dcterms:created>
  <dcterms:modified xsi:type="dcterms:W3CDTF">2022-07-29T05:42:00Z</dcterms:modified>
</cp:coreProperties>
</file>